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Łukowie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Siedlecki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Lubelska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2022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1.870</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2.071</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1.521</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2.420</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249 do 251)</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1.861</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2.055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1.507</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79</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2.409</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627</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b)h)129</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b)h)212</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)h)65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h)27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b)h)544</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56773E"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52</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7</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10</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r w:rsidRPr="00520B26">
              <w:rPr>
                <w:rFonts w:ascii="Arial" w:hAnsi="Arial" w:cs="Arial"/>
                <w:color w:val="000000"/>
                <w:sz w:val="14"/>
                <w:szCs w:val="14"/>
              </w:rPr>
              <w:t>2</w:t>
            </w: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72</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104</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49</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29</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24</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63</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683</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331</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275</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201</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30</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26</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233</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37</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739</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11</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158</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78</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127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99</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93</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73</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42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40</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68</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71</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126</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54</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25</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39</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135</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62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69</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27</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25</w:t>
            </w: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3</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r>
      <w:tr w:rsidR="00173D30" w:rsidRPr="00520B26" w:rsidTr="00FA5B08">
        <w:trPr>
          <w:gridAfter w:val="1"/>
          <w:wAfter w:w="8" w:type="dxa"/>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210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238</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408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281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214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365</w:t>
            </w:r>
          </w:p>
        </w:tc>
      </w:tr>
      <w:tr w:rsidR="00173D30" w:rsidRPr="00520B26" w:rsidTr="00FA5B08">
        <w:trPr>
          <w:gridAfter w:val="1"/>
          <w:wAfter w:w="8" w:type="dxa"/>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28</w:t>
            </w:r>
          </w:p>
        </w:tc>
      </w:tr>
      <w:tr w:rsidR="00173D30" w:rsidRPr="00520B26" w:rsidTr="00FA5B08">
        <w:trPr>
          <w:gridAfter w:val="1"/>
          <w:wAfter w:w="8" w:type="dxa"/>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FA5B08">
        <w:trPr>
          <w:gridAfter w:val="1"/>
          <w:wAfter w:w="8" w:type="dxa"/>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29</w:t>
            </w: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61</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33</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24</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57</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p>
        </w:tc>
        <w:tc>
          <w:tcPr>
            <w:tcW w:w="963" w:type="dxa"/>
            <w:vAlign w:val="center"/>
          </w:tcPr>
          <w:p w:rsidR="00173D30" w:rsidRDefault="00173D30" w:rsidP="00173D30">
            <w:pPr>
              <w:jc w:val="right"/>
              <w:rPr>
                <w:rFonts w:ascii="Arial" w:hAnsi="Arial" w:cs="Arial"/>
                <w:color w:val="000000"/>
                <w:sz w:val="14"/>
                <w:szCs w:val="14"/>
              </w:rPr>
            </w:pPr>
          </w:p>
        </w:tc>
        <w:tc>
          <w:tcPr>
            <w:tcW w:w="904" w:type="dxa"/>
            <w:vAlign w:val="center"/>
          </w:tcPr>
          <w:p w:rsidR="00173D30" w:rsidRDefault="00173D30" w:rsidP="00173D30">
            <w:pPr>
              <w:jc w:val="right"/>
              <w:rPr>
                <w:rFonts w:ascii="Arial" w:hAnsi="Arial" w:cs="Arial"/>
                <w:color w:val="000000"/>
                <w:sz w:val="14"/>
                <w:szCs w:val="14"/>
              </w:rPr>
            </w:pP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w:t>
            </w: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
        <w:gridCol w:w="63"/>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rsidTr="003B037E">
        <w:trPr>
          <w:cantSplit/>
          <w:trHeight w:hRule="exact" w:val="240"/>
          <w:tblHeader/>
        </w:trPr>
        <w:tc>
          <w:tcPr>
            <w:tcW w:w="3589"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4"/>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680"/>
        </w:trPr>
        <w:tc>
          <w:tcPr>
            <w:tcW w:w="2850" w:type="dxa"/>
            <w:gridSpan w:val="4"/>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3B037E">
        <w:trPr>
          <w:cantSplit/>
          <w:trHeight w:hRule="exact" w:val="170"/>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709"/>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94</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102</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28</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30</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27</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46</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gridSpan w:val="2"/>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r>
      <w:tr w:rsidR="00B7249A" w:rsidRPr="00520B26" w:rsidTr="003B037E">
        <w:trPr>
          <w:cantSplit/>
          <w:trHeight w:val="340"/>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5"/>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w:t>
            </w:r>
          </w:p>
        </w:tc>
      </w:tr>
      <w:tr w:rsidR="00B7249A" w:rsidRPr="00520B26" w:rsidTr="003B037E">
        <w:trPr>
          <w:cantSplit/>
          <w:trHeight w:hRule="exact" w:val="397"/>
        </w:trPr>
        <w:tc>
          <w:tcPr>
            <w:tcW w:w="2850" w:type="dxa"/>
            <w:gridSpan w:val="4"/>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do 2</w:t>
            </w:r>
            <w:r>
              <w:rPr>
                <w:rFonts w:ascii="Arial" w:hAnsi="Arial" w:cs="Arial"/>
                <w:sz w:val="14"/>
                <w:szCs w:val="14"/>
              </w:rPr>
              <w:t>48</w:t>
            </w:r>
            <w:r w:rsidRPr="00F01E28">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292</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972</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521</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284</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145</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43</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35</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743</w:t>
            </w:r>
          </w:p>
        </w:tc>
      </w:tr>
      <w:tr w:rsidR="00B7249A" w:rsidRPr="00520B26" w:rsidTr="003B037E">
        <w:trPr>
          <w:cantSplit/>
          <w:trHeight w:hRule="exact" w:val="340"/>
        </w:trPr>
        <w:tc>
          <w:tcPr>
            <w:tcW w:w="2850" w:type="dxa"/>
            <w:gridSpan w:val="4"/>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680"/>
        </w:trPr>
        <w:tc>
          <w:tcPr>
            <w:tcW w:w="634" w:type="dxa"/>
            <w:tcBorders>
              <w:left w:val="single" w:sz="2" w:space="0" w:color="auto"/>
              <w:bottom w:val="single" w:sz="2" w:space="0" w:color="auto"/>
              <w:right w:val="single" w:sz="2" w:space="0" w:color="auto"/>
            </w:tcBorders>
            <w:vAlign w:val="center"/>
          </w:tcPr>
          <w:p w:rsidR="00B7249A" w:rsidRPr="00A704E3" w:rsidRDefault="00B7249A" w:rsidP="00B7249A">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6" w:type="dxa"/>
            <w:gridSpan w:val="3"/>
            <w:tcBorders>
              <w:top w:val="single" w:sz="2" w:space="0" w:color="auto"/>
              <w:left w:val="single" w:sz="4"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 wyłączeniem spraw o symbolach 104n, 104m i 104 p</w:t>
            </w:r>
            <w:r w:rsidR="00804461">
              <w:rPr>
                <w:rFonts w:ascii="Arial" w:hAnsi="Arial" w:cs="Arial"/>
                <w:sz w:val="14"/>
                <w:szCs w:val="14"/>
              </w:rPr>
              <w:t xml:space="preserve"> </w:t>
            </w:r>
            <w:r w:rsidR="00804461" w:rsidRPr="00804461">
              <w:rPr>
                <w:rFonts w:ascii="Arial" w:hAnsi="Arial" w:cs="Arial"/>
                <w:sz w:val="14"/>
                <w:szCs w:val="14"/>
              </w:rPr>
              <w:t>- ogółem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824</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280</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217</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50</w:t>
            </w: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549</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CB418C">
        <w:trPr>
          <w:cantSplit/>
          <w:trHeight w:hRule="exact" w:val="255"/>
        </w:trPr>
        <w:tc>
          <w:tcPr>
            <w:tcW w:w="636" w:type="dxa"/>
            <w:vMerge/>
            <w:tcBorders>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r>
      <w:tr w:rsidR="00B7249A"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r>
      <w:tr w:rsidR="00B7249A"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169</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41</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141</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74</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36</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69</w:t>
            </w:r>
          </w:p>
        </w:tc>
      </w:tr>
      <w:tr w:rsidR="00B7249A"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r>
      <w:tr w:rsidR="00B7249A"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54</w:t>
            </w: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b/>
                <w:sz w:val="12"/>
                <w:szCs w:val="12"/>
              </w:rPr>
            </w:pPr>
            <w:r w:rsidRPr="001B71AC">
              <w:rPr>
                <w:rFonts w:ascii="Arial" w:hAnsi="Arial" w:cs="Arial"/>
                <w:sz w:val="12"/>
                <w:szCs w:val="12"/>
              </w:rPr>
              <w:t xml:space="preserve">W przedmiocie egzekucji przez sprzedaż </w:t>
            </w:r>
          </w:p>
          <w:p w:rsidR="00B7249A" w:rsidRPr="001B71AC" w:rsidRDefault="00B7249A" w:rsidP="00B7249A">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6959CC" w:rsidRDefault="00B7249A" w:rsidP="00B7249A">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E119D6" w:rsidRDefault="00B7249A" w:rsidP="00B7249A">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r>
      <w:tr w:rsidR="00B7249A"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222472" w:rsidRDefault="00B7249A" w:rsidP="00B7249A">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40</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B7249A" w:rsidRPr="00FA4C84" w:rsidRDefault="00B7249A" w:rsidP="00B7249A">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B7249A" w:rsidRPr="00017EC8" w:rsidRDefault="00B7249A" w:rsidP="00B7249A">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47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43225C">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B7249A" w:rsidRPr="00D660B6" w:rsidRDefault="00B7249A" w:rsidP="00B7249A">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249</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18</w:t>
            </w:r>
          </w:p>
        </w:tc>
      </w:tr>
      <w:tr w:rsidR="00B7249A" w:rsidRPr="00520B26" w:rsidTr="0043225C">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250</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601D9" w:rsidP="00B7249A">
            <w:pPr>
              <w:jc w:val="right"/>
              <w:rPr>
                <w:rFonts w:ascii="Arial" w:hAnsi="Arial" w:cs="Arial"/>
                <w:color w:val="000000"/>
                <w:sz w:val="14"/>
                <w:szCs w:val="14"/>
              </w:rPr>
            </w:pPr>
            <w:r w:rsidRPr="00B601D9">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r>
      <w:tr w:rsidR="00B7249A"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251</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601D9" w:rsidP="00B7249A">
            <w:pPr>
              <w:jc w:val="right"/>
              <w:rPr>
                <w:rFonts w:ascii="Arial" w:hAnsi="Arial" w:cs="Arial"/>
                <w:color w:val="000000"/>
                <w:sz w:val="14"/>
                <w:szCs w:val="14"/>
              </w:rPr>
            </w:pPr>
            <w:r w:rsidRPr="00B601D9">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7249A" w:rsidRDefault="00B7249A" w:rsidP="00B7249A"/>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B7249A" w:rsidRDefault="00B7249A" w:rsidP="00B7249A">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B7249A" w:rsidRDefault="00B7249A" w:rsidP="00D10FC9">
            <w:pPr>
              <w:jc w:val="right"/>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11</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69</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86</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234</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9</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205</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50</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56773E" w:rsidP="00D3318D">
      <w:pPr>
        <w:rPr>
          <w:rFonts w:ascii="Arial" w:hAnsi="Arial" w:cs="Arial"/>
          <w:sz w:val="16"/>
          <w:szCs w:val="16"/>
        </w:rPr>
      </w:pPr>
      <w:r w:rsidRPr="00FB3901">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FB3901">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2</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5</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13</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3B037E">
        <w:rPr>
          <w:rFonts w:ascii="Arial" w:hAnsi="Arial"/>
          <w:b/>
          <w:sz w:val="16"/>
          <w:szCs w:val="16"/>
        </w:rPr>
        <w:t>51</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1.870</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627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683</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238</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2.071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972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408</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7</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1.970</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57</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320</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970</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16</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392</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1.521</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212</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275</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521</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8</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14</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281</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677</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87</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79</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253</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58</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37</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8</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214</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214</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263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844</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125</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232</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442</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12</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28</w:t>
            </w: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2.420</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544</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739</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743</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18</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365</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151</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1.834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113</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783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586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197</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142</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409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578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377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78</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29</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281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1.051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208</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93</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114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w:t>
            </w: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112</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1.311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260</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275</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181</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149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281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1.051</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501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208</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59</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281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93</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501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185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202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114</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1.313</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632</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148</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123</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410</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212</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65</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64</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56</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275</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201</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30</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43</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188</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140</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31</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407</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219</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110</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66</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208</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139</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35</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15</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19</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93</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74</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114</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65</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35</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10</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82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78</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w:t>
            </w: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rsidTr="006855FB">
        <w:trPr>
          <w:gridAfter w:val="1"/>
          <w:wAfter w:w="7" w:type="dxa"/>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22</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22</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12</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w:t>
            </w: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6</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w:t>
            </w:r>
          </w:p>
        </w:tc>
        <w:tc>
          <w:tcPr>
            <w:tcW w:w="973" w:type="dxa"/>
            <w:shd w:val="clear" w:color="auto" w:fill="auto"/>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49</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2</w:t>
            </w: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31</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2</w:t>
            </w: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14</w:t>
            </w:r>
          </w:p>
        </w:tc>
        <w:tc>
          <w:tcPr>
            <w:tcW w:w="974" w:type="dxa"/>
            <w:gridSpan w:val="2"/>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108</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3</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2</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1</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2.420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957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1.463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544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519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392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739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597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115</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364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110</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365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743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599</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144</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4</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7</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109</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20</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34</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37</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34</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34</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34</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56</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56</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52</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16</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21</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170</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170</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48</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68</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41</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34</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18</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7</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9</w:t>
            </w: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21</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w:t>
            </w: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317</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330</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276</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7.000,00</w:t>
            </w: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1912B2" w:rsidRPr="00495142" w:rsidTr="006A1728">
        <w:trPr>
          <w:cantSplit/>
          <w:trHeight w:val="271"/>
        </w:trPr>
        <w:tc>
          <w:tcPr>
            <w:tcW w:w="406" w:type="dxa"/>
            <w:vMerge/>
            <w:tcBorders>
              <w:bottom w:val="single" w:sz="4" w:space="0" w:color="auto"/>
              <w:right w:val="single" w:sz="4" w:space="0" w:color="auto"/>
            </w:tcBorders>
            <w:vAlign w:val="center"/>
          </w:tcPr>
          <w:p w:rsidR="001912B2" w:rsidRPr="00495142" w:rsidRDefault="001912B2" w:rsidP="001912B2">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1912B2" w:rsidRPr="00495142" w:rsidRDefault="001912B2" w:rsidP="001912B2">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1912B2" w:rsidRPr="00495142" w:rsidRDefault="001912B2" w:rsidP="001912B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1912B2" w:rsidRPr="008C71F6" w:rsidRDefault="001912B2" w:rsidP="001912B2">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1912B2" w:rsidRPr="00495142" w:rsidRDefault="001912B2" w:rsidP="001912B2">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1.000,00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1.000,00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1912B2" w:rsidRPr="00495142" w:rsidTr="006A1728">
        <w:tc>
          <w:tcPr>
            <w:tcW w:w="1197" w:type="dxa"/>
            <w:vMerge/>
            <w:vAlign w:val="center"/>
          </w:tcPr>
          <w:p w:rsidR="001912B2" w:rsidRPr="00495142" w:rsidRDefault="001912B2" w:rsidP="001912B2">
            <w:pPr>
              <w:rPr>
                <w:rFonts w:ascii="Arial" w:hAnsi="Arial" w:cs="Arial"/>
                <w:sz w:val="14"/>
                <w:szCs w:val="14"/>
              </w:rPr>
            </w:pPr>
          </w:p>
        </w:tc>
        <w:tc>
          <w:tcPr>
            <w:tcW w:w="4560" w:type="dxa"/>
            <w:gridSpan w:val="4"/>
            <w:vAlign w:val="center"/>
          </w:tcPr>
          <w:p w:rsidR="001912B2" w:rsidRPr="00495142" w:rsidRDefault="001912B2" w:rsidP="001912B2">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1912B2" w:rsidRPr="00495142" w:rsidRDefault="001912B2" w:rsidP="001912B2">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1912B2" w:rsidRPr="00495142" w:rsidRDefault="001912B2" w:rsidP="001912B2">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1912B2" w:rsidRPr="00495142" w:rsidRDefault="001912B2" w:rsidP="001912B2">
            <w:pPr>
              <w:jc w:val="right"/>
              <w:rPr>
                <w:rFonts w:ascii="Arial" w:hAnsi="Arial" w:cs="Arial"/>
                <w:sz w:val="14"/>
                <w:szCs w:val="14"/>
              </w:rPr>
            </w:pPr>
          </w:p>
        </w:tc>
        <w:tc>
          <w:tcPr>
            <w:tcW w:w="1276" w:type="dxa"/>
            <w:vAlign w:val="center"/>
          </w:tcPr>
          <w:p w:rsidR="001912B2" w:rsidRPr="00495142" w:rsidRDefault="001912B2" w:rsidP="001912B2">
            <w:pPr>
              <w:jc w:val="right"/>
              <w:rPr>
                <w:rFonts w:ascii="Arial" w:hAnsi="Arial" w:cs="Arial"/>
                <w:sz w:val="14"/>
                <w:szCs w:val="14"/>
              </w:rPr>
            </w:pPr>
          </w:p>
        </w:tc>
        <w:tc>
          <w:tcPr>
            <w:tcW w:w="1417" w:type="dxa"/>
            <w:vAlign w:val="center"/>
          </w:tcPr>
          <w:p w:rsidR="001912B2" w:rsidRPr="00495142" w:rsidRDefault="001912B2" w:rsidP="001912B2">
            <w:pPr>
              <w:jc w:val="right"/>
              <w:rPr>
                <w:rFonts w:ascii="Arial" w:hAnsi="Arial" w:cs="Arial"/>
                <w:sz w:val="14"/>
                <w:szCs w:val="14"/>
              </w:rPr>
            </w:pPr>
          </w:p>
        </w:tc>
        <w:tc>
          <w:tcPr>
            <w:tcW w:w="1701" w:type="dxa"/>
            <w:vAlign w:val="center"/>
          </w:tcPr>
          <w:p w:rsidR="001912B2" w:rsidRPr="00495142" w:rsidRDefault="001912B2" w:rsidP="001912B2">
            <w:pPr>
              <w:jc w:val="right"/>
              <w:rPr>
                <w:rFonts w:ascii="Arial" w:hAnsi="Arial" w:cs="Arial"/>
                <w:sz w:val="14"/>
                <w:szCs w:val="14"/>
              </w:rPr>
            </w:pPr>
          </w:p>
        </w:tc>
        <w:tc>
          <w:tcPr>
            <w:tcW w:w="1559" w:type="dxa"/>
            <w:tcBorders>
              <w:right w:val="single" w:sz="18" w:space="0" w:color="auto"/>
            </w:tcBorders>
            <w:shd w:val="clear" w:color="auto" w:fill="auto"/>
            <w:vAlign w:val="center"/>
          </w:tcPr>
          <w:p w:rsidR="001912B2" w:rsidRPr="00495142" w:rsidRDefault="001912B2" w:rsidP="001912B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80</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23</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29</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531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62</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107</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136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30</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32</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13</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w:t>
            </w:r>
          </w:p>
        </w:tc>
      </w:tr>
    </w:tbl>
    <w:p w:rsidR="00F00875" w:rsidRPr="00495142" w:rsidRDefault="00F00875" w:rsidP="00774562">
      <w:pPr>
        <w:pStyle w:val="style20"/>
        <w:rPr>
          <w:rFonts w:ascii="Arial" w:hAnsi="Arial" w:cs="Arial"/>
          <w:b/>
          <w:bCs/>
        </w:rPr>
      </w:pPr>
    </w:p>
    <w:p w:rsidR="00774562" w:rsidRPr="00495142" w:rsidRDefault="0056773E" w:rsidP="003F7BCC">
      <w:pPr>
        <w:pStyle w:val="style20"/>
        <w:rPr>
          <w:rStyle w:val="fontstyle34"/>
          <w:rFonts w:ascii="Arial" w:hAnsi="Arial" w:cs="Arial"/>
          <w:i w:val="0"/>
          <w:sz w:val="18"/>
          <w:szCs w:val="18"/>
        </w:rPr>
      </w:pPr>
      <w:r w:rsidRPr="00FB3901">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56773E" w:rsidRPr="00FB3901">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56773E" w:rsidRPr="00FB3901">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56773E" w:rsidRPr="00FB3901">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lastRenderedPageBreak/>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w:t>
      </w:r>
      <w:r w:rsidRPr="007E3D60">
        <w:rPr>
          <w:rFonts w:ascii="Arial" w:hAnsi="Arial" w:cs="Arial"/>
          <w:b/>
          <w:bCs/>
          <w:sz w:val="18"/>
          <w:szCs w:val="18"/>
        </w:rPr>
        <w:lastRenderedPageBreak/>
        <w:t>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lastRenderedPageBreak/>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w:t>
      </w:r>
      <w:r w:rsidRPr="007E3D60">
        <w:rPr>
          <w:rFonts w:ascii="Arial" w:hAnsi="Arial" w:cs="Arial"/>
          <w:sz w:val="18"/>
          <w:szCs w:val="18"/>
        </w:rPr>
        <w:lastRenderedPageBreak/>
        <w:t xml:space="preserve">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w:t>
      </w:r>
      <w:r w:rsidRPr="007E3D60">
        <w:rPr>
          <w:rFonts w:ascii="Arial" w:hAnsi="Arial" w:cs="Arial"/>
          <w:bCs/>
          <w:sz w:val="18"/>
          <w:szCs w:val="18"/>
        </w:rPr>
        <w:lastRenderedPageBreak/>
        <w:t xml:space="preserve">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lastRenderedPageBreak/>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1B" w:rsidRDefault="009C2D1B">
      <w:r>
        <w:separator/>
      </w:r>
    </w:p>
  </w:endnote>
  <w:endnote w:type="continuationSeparator" w:id="0">
    <w:p w:rsidR="009C2D1B" w:rsidRDefault="009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5D" w:rsidRDefault="0013595D">
    <w:pPr>
      <w:pStyle w:val="Stopka"/>
      <w:jc w:val="center"/>
    </w:pPr>
    <w:r w:rsidRPr="003852EC">
      <w:rPr>
        <w:sz w:val="16"/>
        <w:szCs w:val="16"/>
      </w:rPr>
      <w:t xml:space="preserve">Strona </w:t>
    </w:r>
    <w:r w:rsidR="00FB3901" w:rsidRPr="003852EC">
      <w:rPr>
        <w:b/>
        <w:bCs/>
        <w:sz w:val="16"/>
        <w:szCs w:val="16"/>
      </w:rPr>
      <w:fldChar w:fldCharType="begin"/>
    </w:r>
    <w:r w:rsidRPr="003852EC">
      <w:rPr>
        <w:b/>
        <w:bCs/>
        <w:sz w:val="16"/>
        <w:szCs w:val="16"/>
      </w:rPr>
      <w:instrText>PAGE</w:instrText>
    </w:r>
    <w:r w:rsidR="00FB3901" w:rsidRPr="003852EC">
      <w:rPr>
        <w:b/>
        <w:bCs/>
        <w:sz w:val="16"/>
        <w:szCs w:val="16"/>
      </w:rPr>
      <w:fldChar w:fldCharType="separate"/>
    </w:r>
    <w:r w:rsidR="0056773E">
      <w:rPr>
        <w:b/>
        <w:bCs/>
        <w:noProof/>
        <w:sz w:val="16"/>
        <w:szCs w:val="16"/>
      </w:rPr>
      <w:t>1</w:t>
    </w:r>
    <w:r w:rsidR="00FB3901" w:rsidRPr="003852EC">
      <w:rPr>
        <w:b/>
        <w:bCs/>
        <w:sz w:val="16"/>
        <w:szCs w:val="16"/>
      </w:rPr>
      <w:fldChar w:fldCharType="end"/>
    </w:r>
    <w:r w:rsidRPr="003852EC">
      <w:rPr>
        <w:sz w:val="16"/>
        <w:szCs w:val="16"/>
      </w:rPr>
      <w:t xml:space="preserve"> z </w:t>
    </w:r>
    <w:r w:rsidR="00FB3901" w:rsidRPr="003852EC">
      <w:rPr>
        <w:b/>
        <w:bCs/>
        <w:sz w:val="16"/>
        <w:szCs w:val="16"/>
      </w:rPr>
      <w:fldChar w:fldCharType="begin"/>
    </w:r>
    <w:r w:rsidRPr="003852EC">
      <w:rPr>
        <w:b/>
        <w:bCs/>
        <w:sz w:val="16"/>
        <w:szCs w:val="16"/>
      </w:rPr>
      <w:instrText>NUMPAGES</w:instrText>
    </w:r>
    <w:r w:rsidR="00FB3901" w:rsidRPr="003852EC">
      <w:rPr>
        <w:b/>
        <w:bCs/>
        <w:sz w:val="16"/>
        <w:szCs w:val="16"/>
      </w:rPr>
      <w:fldChar w:fldCharType="separate"/>
    </w:r>
    <w:r w:rsidR="0056773E">
      <w:rPr>
        <w:b/>
        <w:bCs/>
        <w:noProof/>
        <w:sz w:val="16"/>
        <w:szCs w:val="16"/>
      </w:rPr>
      <w:t>41</w:t>
    </w:r>
    <w:r w:rsidR="00FB3901"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1B" w:rsidRDefault="009C2D1B">
      <w:r>
        <w:separator/>
      </w:r>
    </w:p>
  </w:footnote>
  <w:footnote w:type="continuationSeparator" w:id="0">
    <w:p w:rsidR="009C2D1B" w:rsidRDefault="009C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13.08.2022</w:t>
    </w:r>
    <w:r>
      <w:rPr>
        <w:color w:val="0000FF"/>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73E"/>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2D1B"/>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30ED"/>
    <w:rsid w:val="00FB3901"/>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FC4C8-6EA2-4B21-8C2E-F2436DFC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19919</Words>
  <Characters>119518</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3</cp:revision>
  <cp:lastPrinted>2012-06-12T06:39:00Z</cp:lastPrinted>
  <dcterms:created xsi:type="dcterms:W3CDTF">2022-08-13T12:07:00Z</dcterms:created>
  <dcterms:modified xsi:type="dcterms:W3CDTF">2022-08-13T12:07:00Z</dcterms:modified>
</cp:coreProperties>
</file>